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08" w:rsidRDefault="000622A5">
      <w:bookmarkStart w:id="0" w:name="_GoBack"/>
      <w:bookmarkEnd w:id="0"/>
      <w:r>
        <w:t xml:space="preserve">Gemeinde ……………………………… </w:t>
      </w:r>
    </w:p>
    <w:p w:rsidR="000622A5" w:rsidRDefault="000622A5"/>
    <w:p w:rsidR="000622A5" w:rsidRDefault="000622A5"/>
    <w:p w:rsidR="000622A5" w:rsidRDefault="000622A5"/>
    <w:p w:rsidR="000622A5" w:rsidRPr="000622A5" w:rsidRDefault="000622A5">
      <w:pPr>
        <w:rPr>
          <w:b/>
          <w:sz w:val="28"/>
          <w:szCs w:val="28"/>
        </w:rPr>
      </w:pPr>
      <w:r w:rsidRPr="000622A5">
        <w:rPr>
          <w:b/>
          <w:sz w:val="28"/>
          <w:szCs w:val="28"/>
        </w:rPr>
        <w:t>Umzug minderjährige Kinder bei gemeinsamem Sorgerecht</w:t>
      </w:r>
    </w:p>
    <w:p w:rsidR="000622A5" w:rsidRDefault="000622A5"/>
    <w:p w:rsidR="000622A5" w:rsidRDefault="000622A5"/>
    <w:p w:rsidR="000622A5" w:rsidRPr="000622A5" w:rsidRDefault="000622A5">
      <w:pPr>
        <w:rPr>
          <w:sz w:val="32"/>
          <w:szCs w:val="32"/>
        </w:rPr>
      </w:pPr>
      <w:r w:rsidRPr="000622A5">
        <w:rPr>
          <w:sz w:val="32"/>
          <w:szCs w:val="32"/>
        </w:rPr>
        <w:t>Merkblatt</w:t>
      </w:r>
    </w:p>
    <w:p w:rsidR="000622A5" w:rsidRDefault="000622A5"/>
    <w:p w:rsidR="000622A5" w:rsidRDefault="000622A5"/>
    <w:p w:rsidR="000622A5" w:rsidRDefault="000622A5">
      <w:r>
        <w:t>Die Gemeinde weist bei einem Umzug mit minderjährigen Kindern bei gemeinsamem Sorgerecht auf die zivilrechtlichen Bestimmungen hin, die von den Eltern zu beachten sind:</w:t>
      </w:r>
    </w:p>
    <w:p w:rsidR="000622A5" w:rsidRDefault="000622A5"/>
    <w:p w:rsidR="000622A5" w:rsidRDefault="000622A5"/>
    <w:p w:rsidR="000622A5" w:rsidRPr="000622A5" w:rsidRDefault="000622A5" w:rsidP="000622A5">
      <w:pPr>
        <w:pStyle w:val="Funotentext"/>
        <w:rPr>
          <w:sz w:val="22"/>
          <w:szCs w:val="22"/>
          <w:lang w:val="de-CH"/>
        </w:rPr>
      </w:pPr>
      <w:r w:rsidRPr="000622A5">
        <w:rPr>
          <w:b/>
          <w:sz w:val="22"/>
          <w:szCs w:val="22"/>
          <w:u w:val="single"/>
          <w:lang w:val="de-CH"/>
        </w:rPr>
        <w:t>ZGB Art. 301a Inhalt / Bestimmung des Aufenthaltsortes</w:t>
      </w:r>
      <w:r w:rsidRPr="000622A5">
        <w:rPr>
          <w:b/>
          <w:sz w:val="22"/>
          <w:szCs w:val="22"/>
          <w:u w:val="single"/>
          <w:lang w:val="de-CH"/>
        </w:rPr>
        <w:br/>
      </w:r>
    </w:p>
    <w:p w:rsidR="000622A5" w:rsidRPr="000622A5" w:rsidRDefault="000622A5" w:rsidP="000622A5">
      <w:pPr>
        <w:pStyle w:val="Funotentext"/>
        <w:rPr>
          <w:sz w:val="24"/>
          <w:szCs w:val="24"/>
          <w:lang w:val="de-CH"/>
        </w:rPr>
      </w:pPr>
      <w:r w:rsidRPr="000622A5">
        <w:rPr>
          <w:sz w:val="24"/>
          <w:szCs w:val="24"/>
          <w:vertAlign w:val="superscript"/>
          <w:lang w:val="de-CH"/>
        </w:rPr>
        <w:t>1</w:t>
      </w:r>
      <w:r w:rsidRPr="000622A5">
        <w:rPr>
          <w:sz w:val="24"/>
          <w:szCs w:val="24"/>
          <w:lang w:val="de-CH"/>
        </w:rPr>
        <w:t>Die elterliche Sorge schliesst das Recht ein, den Aufenthaltsort des Kindes zu bestimmen.</w:t>
      </w:r>
      <w:r w:rsidRPr="000622A5">
        <w:rPr>
          <w:sz w:val="24"/>
          <w:szCs w:val="24"/>
          <w:lang w:val="de-CH"/>
        </w:rPr>
        <w:br/>
      </w:r>
    </w:p>
    <w:p w:rsidR="000622A5" w:rsidRPr="000622A5" w:rsidRDefault="000622A5" w:rsidP="000622A5">
      <w:pPr>
        <w:pStyle w:val="Funotentext"/>
        <w:rPr>
          <w:sz w:val="24"/>
          <w:szCs w:val="24"/>
          <w:lang w:val="de-CH"/>
        </w:rPr>
      </w:pPr>
      <w:r w:rsidRPr="000622A5">
        <w:rPr>
          <w:sz w:val="24"/>
          <w:szCs w:val="24"/>
          <w:vertAlign w:val="superscript"/>
          <w:lang w:val="de-CH"/>
        </w:rPr>
        <w:t>2</w:t>
      </w:r>
      <w:r w:rsidRPr="000622A5">
        <w:rPr>
          <w:sz w:val="24"/>
          <w:szCs w:val="24"/>
          <w:lang w:val="de-CH"/>
        </w:rPr>
        <w:t>Üben die Eltern die elterliche Sorge gemeinsam aus und will ein Elternteil den Aufenthaltsort des Kindes wechseln, so bedarf dies der Zustimmung des andern Elternteils oder der Entscheidung des Gerichts oder der Kindesschutzbehörde, wenn:</w:t>
      </w:r>
    </w:p>
    <w:p w:rsidR="000622A5" w:rsidRPr="000622A5" w:rsidRDefault="000622A5" w:rsidP="000622A5">
      <w:pPr>
        <w:pStyle w:val="Funotentext"/>
        <w:rPr>
          <w:sz w:val="24"/>
          <w:szCs w:val="24"/>
          <w:lang w:val="de-CH"/>
        </w:rPr>
      </w:pPr>
      <w:proofErr w:type="spellStart"/>
      <w:r w:rsidRPr="000622A5">
        <w:rPr>
          <w:sz w:val="24"/>
          <w:szCs w:val="24"/>
          <w:lang w:val="de-CH"/>
        </w:rPr>
        <w:t>a.der</w:t>
      </w:r>
      <w:proofErr w:type="spellEnd"/>
      <w:r w:rsidRPr="000622A5">
        <w:rPr>
          <w:sz w:val="24"/>
          <w:szCs w:val="24"/>
          <w:lang w:val="de-CH"/>
        </w:rPr>
        <w:t xml:space="preserve"> neue Aufenthaltsort im Ausland liegt; oder</w:t>
      </w:r>
    </w:p>
    <w:p w:rsidR="000622A5" w:rsidRPr="000622A5" w:rsidRDefault="000622A5" w:rsidP="000622A5">
      <w:pPr>
        <w:pStyle w:val="Funotentext"/>
        <w:rPr>
          <w:sz w:val="24"/>
          <w:szCs w:val="24"/>
          <w:lang w:val="de-CH"/>
        </w:rPr>
      </w:pPr>
      <w:proofErr w:type="spellStart"/>
      <w:r w:rsidRPr="000622A5">
        <w:rPr>
          <w:sz w:val="24"/>
          <w:szCs w:val="24"/>
          <w:lang w:val="de-CH"/>
        </w:rPr>
        <w:t>b.der</w:t>
      </w:r>
      <w:proofErr w:type="spellEnd"/>
      <w:r w:rsidRPr="000622A5">
        <w:rPr>
          <w:sz w:val="24"/>
          <w:szCs w:val="24"/>
          <w:lang w:val="de-CH"/>
        </w:rPr>
        <w:t xml:space="preserve"> Wechsel des Aufenthaltsortes erhebliche Auswirkungen auf die Ausübung der elterlichen Sorge und den persönlichen Verkehr durch den anderen Elternteil hat.</w:t>
      </w:r>
      <w:r w:rsidRPr="000622A5">
        <w:rPr>
          <w:sz w:val="24"/>
          <w:szCs w:val="24"/>
          <w:lang w:val="de-CH"/>
        </w:rPr>
        <w:br/>
      </w:r>
    </w:p>
    <w:p w:rsidR="000622A5" w:rsidRPr="000622A5" w:rsidRDefault="000622A5" w:rsidP="000622A5">
      <w:pPr>
        <w:pStyle w:val="Funotentext"/>
        <w:rPr>
          <w:sz w:val="24"/>
          <w:szCs w:val="24"/>
          <w:lang w:val="de-CH"/>
        </w:rPr>
      </w:pPr>
      <w:r w:rsidRPr="000622A5">
        <w:rPr>
          <w:sz w:val="24"/>
          <w:szCs w:val="24"/>
          <w:vertAlign w:val="superscript"/>
          <w:lang w:val="de-CH"/>
        </w:rPr>
        <w:t>3</w:t>
      </w:r>
      <w:r w:rsidRPr="000622A5">
        <w:rPr>
          <w:sz w:val="24"/>
          <w:szCs w:val="24"/>
          <w:lang w:val="de-CH"/>
        </w:rPr>
        <w:t>Übt ein Elternteil die elterliche Sorge allein aus und will er den Aufenthaltsort des Kindes wechseln, so muss er den anderen Elternteil rechtzeitig darüber informieren.</w:t>
      </w:r>
      <w:r w:rsidRPr="000622A5">
        <w:rPr>
          <w:sz w:val="24"/>
          <w:szCs w:val="24"/>
          <w:lang w:val="de-CH"/>
        </w:rPr>
        <w:br/>
      </w:r>
    </w:p>
    <w:p w:rsidR="000622A5" w:rsidRPr="000622A5" w:rsidRDefault="000622A5" w:rsidP="000622A5">
      <w:pPr>
        <w:pStyle w:val="Funotentext"/>
        <w:rPr>
          <w:sz w:val="24"/>
          <w:szCs w:val="24"/>
          <w:lang w:val="de-CH"/>
        </w:rPr>
      </w:pPr>
      <w:r w:rsidRPr="000622A5">
        <w:rPr>
          <w:sz w:val="24"/>
          <w:szCs w:val="24"/>
          <w:vertAlign w:val="superscript"/>
          <w:lang w:val="de-CH"/>
        </w:rPr>
        <w:t>4</w:t>
      </w:r>
      <w:r w:rsidRPr="000622A5">
        <w:rPr>
          <w:sz w:val="24"/>
          <w:szCs w:val="24"/>
          <w:lang w:val="de-CH"/>
        </w:rPr>
        <w:t>Dieselbe Informationspflicht hat ein Elternteil, der seinen eigenen Wohnsitz wechseln will.</w:t>
      </w:r>
      <w:r w:rsidRPr="000622A5">
        <w:rPr>
          <w:sz w:val="24"/>
          <w:szCs w:val="24"/>
          <w:lang w:val="de-CH"/>
        </w:rPr>
        <w:br/>
      </w:r>
    </w:p>
    <w:p w:rsidR="000622A5" w:rsidRPr="000622A5" w:rsidRDefault="000622A5" w:rsidP="000622A5">
      <w:pPr>
        <w:pStyle w:val="Funotentext"/>
        <w:rPr>
          <w:sz w:val="24"/>
          <w:szCs w:val="24"/>
          <w:lang w:val="de-CH"/>
        </w:rPr>
      </w:pPr>
      <w:r w:rsidRPr="000622A5">
        <w:rPr>
          <w:sz w:val="24"/>
          <w:szCs w:val="24"/>
          <w:vertAlign w:val="superscript"/>
          <w:lang w:val="de-CH"/>
        </w:rPr>
        <w:t>5</w:t>
      </w:r>
      <w:r w:rsidRPr="000622A5">
        <w:rPr>
          <w:sz w:val="24"/>
          <w:szCs w:val="24"/>
          <w:lang w:val="de-CH"/>
        </w:rPr>
        <w:t>Soweit dies erforderlich ist, verständigen sich die Eltern unter Wahrung des Kindeswohls über eine Anpassung der Regelung der elterlichen Sorge, der Obhut, des persönlichen Verkehrs und des Unterhaltsbeitrages. Können sie sich nicht einigen, entscheidet das Gericht oder die Kindesschutzbehörde.</w:t>
      </w:r>
    </w:p>
    <w:p w:rsidR="000622A5" w:rsidRDefault="000622A5"/>
    <w:sectPr w:rsidR="000622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A5"/>
    <w:rsid w:val="000622A5"/>
    <w:rsid w:val="004F6911"/>
    <w:rsid w:val="005254A5"/>
    <w:rsid w:val="005F665D"/>
    <w:rsid w:val="00604508"/>
    <w:rsid w:val="00AA7E84"/>
    <w:rsid w:val="00E440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6AFE1-EBF5-4F30-88F7-AF0F78C4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0622A5"/>
    <w:rPr>
      <w:rFonts w:asciiTheme="minorHAnsi" w:eastAsiaTheme="minorEastAsia" w:hAnsiTheme="minorHAnsi" w:cstheme="minorBidi"/>
      <w:sz w:val="20"/>
      <w:szCs w:val="20"/>
      <w:lang w:val="de-DE"/>
    </w:rPr>
  </w:style>
  <w:style w:type="character" w:customStyle="1" w:styleId="FunotentextZchn">
    <w:name w:val="Fußnotentext Zchn"/>
    <w:basedOn w:val="Absatz-Standardschriftart"/>
    <w:link w:val="Funotentext"/>
    <w:semiHidden/>
    <w:rsid w:val="000622A5"/>
    <w:rPr>
      <w:rFonts w:asciiTheme="minorHAnsi" w:eastAsiaTheme="minorEastAsia" w:hAnsiTheme="minorHAnsi" w:cstheme="minorBidi"/>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dc:creator>
  <cp:lastModifiedBy>Monika Gerber</cp:lastModifiedBy>
  <cp:revision>2</cp:revision>
  <cp:lastPrinted>2019-09-12T04:58:00Z</cp:lastPrinted>
  <dcterms:created xsi:type="dcterms:W3CDTF">2019-10-18T06:27:00Z</dcterms:created>
  <dcterms:modified xsi:type="dcterms:W3CDTF">2019-10-18T06:27:00Z</dcterms:modified>
</cp:coreProperties>
</file>